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lang w:val="en-US" w:eastAsia="zh-CN"/>
        </w:rPr>
      </w:pPr>
      <w:bookmarkStart w:id="0" w:name="_GoBack"/>
      <w:bookmarkEnd w:id="0"/>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2</w:t>
      </w:r>
    </w:p>
    <w:p>
      <w:pPr>
        <w:pStyle w:val="2"/>
        <w:ind w:firstLine="1325" w:firstLineChars="300"/>
        <w:jc w:val="both"/>
        <w:rPr>
          <w:rFonts w:hint="eastAsia"/>
          <w:sz w:val="44"/>
          <w:szCs w:val="44"/>
          <w:lang w:eastAsia="zh-CN"/>
        </w:rPr>
      </w:pPr>
      <w:r>
        <w:rPr>
          <w:rFonts w:hint="eastAsia"/>
          <w:b/>
          <w:bCs/>
          <w:color w:val="auto"/>
          <w:sz w:val="44"/>
          <w:szCs w:val="44"/>
          <w:highlight w:val="none"/>
          <w:lang w:eastAsia="zh-CN"/>
        </w:rPr>
        <w:t>吉林省广播电视局</w:t>
      </w:r>
      <w:r>
        <w:rPr>
          <w:rFonts w:hint="eastAsia"/>
          <w:b/>
          <w:bCs/>
          <w:color w:val="auto"/>
          <w:sz w:val="44"/>
          <w:szCs w:val="44"/>
          <w:highlight w:val="none"/>
          <w:lang w:val="en-US" w:eastAsia="zh-CN"/>
        </w:rPr>
        <w:t>2023年公平公正法治环境建设工作</w:t>
      </w:r>
      <w:r>
        <w:rPr>
          <w:rFonts w:hint="eastAsia"/>
          <w:b/>
          <w:bCs/>
          <w:color w:val="auto"/>
          <w:sz w:val="44"/>
          <w:szCs w:val="44"/>
          <w:highlight w:val="none"/>
          <w:lang w:eastAsia="zh-CN"/>
        </w:rPr>
        <w:t>责任清单</w:t>
      </w:r>
    </w:p>
    <w:tbl>
      <w:tblPr>
        <w:tblStyle w:val="6"/>
        <w:tblW w:w="14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955"/>
        <w:gridCol w:w="1200"/>
        <w:gridCol w:w="990"/>
        <w:gridCol w:w="2475"/>
        <w:gridCol w:w="5850"/>
        <w:gridCol w:w="94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jc w:val="center"/>
              <w:rPr>
                <w:rFonts w:hint="default" w:ascii="黑体" w:hAnsi="黑体" w:eastAsia="黑体" w:cs="Times New Roman"/>
                <w:b w:val="0"/>
                <w:bCs w:val="0"/>
                <w:color w:val="auto"/>
                <w:kern w:val="2"/>
                <w:sz w:val="21"/>
                <w:szCs w:val="21"/>
                <w:highlight w:val="none"/>
                <w:lang w:val="en-US" w:eastAsia="zh-CN" w:bidi="ar-SA"/>
              </w:rPr>
            </w:pPr>
            <w:r>
              <w:rPr>
                <w:rFonts w:hint="eastAsia" w:ascii="黑体" w:hAnsi="黑体" w:eastAsia="黑体"/>
                <w:b w:val="0"/>
                <w:bCs w:val="0"/>
                <w:color w:val="auto"/>
                <w:szCs w:val="21"/>
                <w:highlight w:val="none"/>
              </w:rPr>
              <w:t>序号</w:t>
            </w:r>
          </w:p>
        </w:tc>
        <w:tc>
          <w:tcPr>
            <w:tcW w:w="955" w:type="dxa"/>
            <w:noWrap w:val="0"/>
            <w:vAlign w:val="center"/>
          </w:tcPr>
          <w:p>
            <w:pPr>
              <w:jc w:val="center"/>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牵头</w:t>
            </w:r>
          </w:p>
          <w:p>
            <w:pPr>
              <w:jc w:val="center"/>
              <w:rPr>
                <w:rFonts w:hint="default" w:ascii="黑体" w:hAnsi="黑体" w:eastAsia="黑体" w:cs="Times New Roman"/>
                <w:b w:val="0"/>
                <w:bCs w:val="0"/>
                <w:color w:val="auto"/>
                <w:kern w:val="2"/>
                <w:sz w:val="21"/>
                <w:szCs w:val="21"/>
                <w:highlight w:val="none"/>
                <w:lang w:val="en-US" w:eastAsia="zh-CN" w:bidi="ar-SA"/>
              </w:rPr>
            </w:pPr>
            <w:r>
              <w:rPr>
                <w:rFonts w:hint="eastAsia" w:ascii="黑体" w:hAnsi="黑体" w:eastAsia="黑体"/>
                <w:b w:val="0"/>
                <w:bCs w:val="0"/>
                <w:color w:val="auto"/>
                <w:szCs w:val="21"/>
                <w:highlight w:val="none"/>
              </w:rPr>
              <w:t>处室</w:t>
            </w:r>
          </w:p>
        </w:tc>
        <w:tc>
          <w:tcPr>
            <w:tcW w:w="1200" w:type="dxa"/>
            <w:noWrap w:val="0"/>
            <w:vAlign w:val="center"/>
          </w:tcPr>
          <w:p>
            <w:pPr>
              <w:jc w:val="center"/>
              <w:rPr>
                <w:rFonts w:hint="default" w:ascii="黑体" w:hAnsi="黑体" w:eastAsia="黑体" w:cs="Times New Roman"/>
                <w:b w:val="0"/>
                <w:bCs w:val="0"/>
                <w:color w:val="auto"/>
                <w:kern w:val="2"/>
                <w:sz w:val="21"/>
                <w:szCs w:val="21"/>
                <w:highlight w:val="none"/>
                <w:lang w:val="en-US" w:eastAsia="zh-CN" w:bidi="ar-SA"/>
              </w:rPr>
            </w:pPr>
            <w:r>
              <w:rPr>
                <w:rFonts w:hint="eastAsia" w:ascii="黑体" w:hAnsi="黑体" w:eastAsia="黑体"/>
                <w:b w:val="0"/>
                <w:bCs w:val="0"/>
                <w:color w:val="auto"/>
                <w:szCs w:val="21"/>
                <w:highlight w:val="none"/>
              </w:rPr>
              <w:t>配合处室</w:t>
            </w:r>
          </w:p>
        </w:tc>
        <w:tc>
          <w:tcPr>
            <w:tcW w:w="990" w:type="dxa"/>
            <w:noWrap w:val="0"/>
            <w:vAlign w:val="center"/>
          </w:tcPr>
          <w:p>
            <w:pPr>
              <w:jc w:val="center"/>
              <w:rPr>
                <w:rFonts w:hint="eastAsia" w:ascii="黑体" w:hAnsi="黑体" w:eastAsia="黑体"/>
                <w:b w:val="0"/>
                <w:bCs w:val="0"/>
                <w:color w:val="auto"/>
                <w:szCs w:val="21"/>
                <w:highlight w:val="none"/>
                <w:lang w:eastAsia="zh-CN"/>
              </w:rPr>
            </w:pPr>
            <w:r>
              <w:rPr>
                <w:rFonts w:hint="eastAsia" w:ascii="黑体" w:hAnsi="黑体" w:eastAsia="黑体"/>
                <w:b w:val="0"/>
                <w:bCs w:val="0"/>
                <w:color w:val="auto"/>
                <w:szCs w:val="21"/>
                <w:highlight w:val="none"/>
                <w:lang w:eastAsia="zh-CN"/>
              </w:rPr>
              <w:t>工作</w:t>
            </w:r>
          </w:p>
          <w:p>
            <w:pPr>
              <w:jc w:val="center"/>
              <w:rPr>
                <w:rFonts w:hint="eastAsia" w:ascii="黑体" w:hAnsi="黑体" w:eastAsia="黑体" w:cs="Times New Roman"/>
                <w:b w:val="0"/>
                <w:bCs w:val="0"/>
                <w:color w:val="auto"/>
                <w:kern w:val="2"/>
                <w:sz w:val="21"/>
                <w:szCs w:val="21"/>
                <w:highlight w:val="none"/>
                <w:lang w:val="en-US" w:eastAsia="zh-CN" w:bidi="ar-SA"/>
              </w:rPr>
            </w:pPr>
            <w:r>
              <w:rPr>
                <w:rFonts w:hint="eastAsia" w:ascii="黑体" w:hAnsi="黑体" w:eastAsia="黑体"/>
                <w:b w:val="0"/>
                <w:bCs w:val="0"/>
                <w:color w:val="auto"/>
                <w:szCs w:val="21"/>
                <w:highlight w:val="none"/>
                <w:lang w:eastAsia="zh-CN"/>
              </w:rPr>
              <w:t>目标</w:t>
            </w:r>
          </w:p>
        </w:tc>
        <w:tc>
          <w:tcPr>
            <w:tcW w:w="2475" w:type="dxa"/>
            <w:noWrap w:val="0"/>
            <w:vAlign w:val="center"/>
          </w:tcPr>
          <w:p>
            <w:pPr>
              <w:jc w:val="center"/>
              <w:rPr>
                <w:rFonts w:hint="default" w:ascii="黑体" w:hAnsi="黑体" w:eastAsia="黑体" w:cs="Times New Roman"/>
                <w:b w:val="0"/>
                <w:bCs w:val="0"/>
                <w:color w:val="auto"/>
                <w:kern w:val="2"/>
                <w:sz w:val="21"/>
                <w:szCs w:val="21"/>
                <w:highlight w:val="none"/>
                <w:lang w:val="en-US" w:eastAsia="zh-CN" w:bidi="ar-SA"/>
              </w:rPr>
            </w:pPr>
            <w:r>
              <w:rPr>
                <w:rFonts w:hint="eastAsia" w:ascii="黑体" w:hAnsi="黑体" w:eastAsia="黑体"/>
                <w:b w:val="0"/>
                <w:bCs w:val="0"/>
                <w:color w:val="auto"/>
                <w:szCs w:val="21"/>
                <w:highlight w:val="none"/>
                <w:lang w:eastAsia="zh-CN"/>
              </w:rPr>
              <w:t>具体任务</w:t>
            </w:r>
          </w:p>
        </w:tc>
        <w:tc>
          <w:tcPr>
            <w:tcW w:w="5850" w:type="dxa"/>
            <w:noWrap w:val="0"/>
            <w:vAlign w:val="center"/>
          </w:tcPr>
          <w:p>
            <w:pPr>
              <w:jc w:val="center"/>
              <w:rPr>
                <w:rFonts w:hint="default" w:ascii="黑体" w:hAnsi="黑体" w:eastAsia="黑体" w:cs="Times New Roman"/>
                <w:b w:val="0"/>
                <w:bCs w:val="0"/>
                <w:color w:val="auto"/>
                <w:kern w:val="2"/>
                <w:sz w:val="21"/>
                <w:szCs w:val="21"/>
                <w:highlight w:val="none"/>
                <w:lang w:val="en-US" w:eastAsia="zh-CN" w:bidi="ar-SA"/>
              </w:rPr>
            </w:pPr>
            <w:r>
              <w:rPr>
                <w:rFonts w:hint="eastAsia" w:ascii="黑体" w:hAnsi="黑体" w:eastAsia="黑体"/>
                <w:b w:val="0"/>
                <w:bCs w:val="0"/>
                <w:color w:val="auto"/>
                <w:szCs w:val="21"/>
                <w:highlight w:val="none"/>
              </w:rPr>
              <w:t>主要推进措施</w:t>
            </w:r>
          </w:p>
        </w:tc>
        <w:tc>
          <w:tcPr>
            <w:tcW w:w="945" w:type="dxa"/>
            <w:noWrap w:val="0"/>
            <w:vAlign w:val="center"/>
          </w:tcPr>
          <w:p>
            <w:pPr>
              <w:jc w:val="center"/>
              <w:rPr>
                <w:rFonts w:hint="eastAsia" w:ascii="黑体" w:hAnsi="黑体" w:eastAsia="黑体"/>
                <w:b w:val="0"/>
                <w:bCs w:val="0"/>
                <w:color w:val="auto"/>
                <w:szCs w:val="21"/>
                <w:highlight w:val="none"/>
              </w:rPr>
            </w:pPr>
            <w:r>
              <w:rPr>
                <w:rFonts w:hint="eastAsia" w:ascii="黑体" w:hAnsi="黑体" w:eastAsia="黑体"/>
                <w:b w:val="0"/>
                <w:bCs w:val="0"/>
                <w:color w:val="auto"/>
                <w:szCs w:val="21"/>
                <w:highlight w:val="none"/>
              </w:rPr>
              <w:t>完成</w:t>
            </w:r>
          </w:p>
          <w:p>
            <w:pPr>
              <w:jc w:val="center"/>
              <w:rPr>
                <w:rFonts w:hint="default" w:ascii="Calibri" w:hAnsi="Calibri" w:eastAsia="宋体" w:cs="Times New Roman"/>
                <w:b w:val="0"/>
                <w:bCs w:val="0"/>
                <w:color w:val="auto"/>
                <w:kern w:val="2"/>
                <w:sz w:val="21"/>
                <w:szCs w:val="21"/>
                <w:highlight w:val="none"/>
                <w:lang w:val="en-US" w:eastAsia="zh-CN" w:bidi="ar-SA"/>
              </w:rPr>
            </w:pPr>
            <w:r>
              <w:rPr>
                <w:rFonts w:hint="eastAsia" w:ascii="黑体" w:hAnsi="黑体" w:eastAsia="黑体"/>
                <w:b w:val="0"/>
                <w:bCs w:val="0"/>
                <w:color w:val="auto"/>
                <w:szCs w:val="21"/>
                <w:highlight w:val="none"/>
              </w:rPr>
              <w:t>时间</w:t>
            </w:r>
          </w:p>
        </w:tc>
        <w:tc>
          <w:tcPr>
            <w:tcW w:w="1386" w:type="dxa"/>
            <w:noWrap w:val="0"/>
            <w:vAlign w:val="center"/>
          </w:tcPr>
          <w:p>
            <w:pPr>
              <w:jc w:val="center"/>
              <w:rPr>
                <w:rFonts w:hint="eastAsia" w:ascii="黑体" w:hAnsi="黑体" w:eastAsia="黑体" w:cs="Times New Roman"/>
                <w:b w:val="0"/>
                <w:bCs w:val="0"/>
                <w:color w:val="auto"/>
                <w:kern w:val="2"/>
                <w:sz w:val="21"/>
                <w:szCs w:val="21"/>
                <w:highlight w:val="none"/>
                <w:lang w:val="en-US" w:eastAsia="zh-CN" w:bidi="ar-SA"/>
              </w:rPr>
            </w:pPr>
            <w:r>
              <w:rPr>
                <w:rFonts w:hint="eastAsia" w:ascii="黑体" w:hAnsi="黑体" w:eastAsia="黑体"/>
                <w:b w:val="0"/>
                <w:bCs w:val="0"/>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6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955" w:type="dxa"/>
            <w:noWrap w:val="0"/>
            <w:vAlign w:val="center"/>
          </w:tcPr>
          <w:p>
            <w:pPr>
              <w:jc w:val="both"/>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政策法规处</w:t>
            </w:r>
          </w:p>
        </w:tc>
        <w:tc>
          <w:tcPr>
            <w:tcW w:w="1200" w:type="dxa"/>
            <w:noWrap w:val="0"/>
            <w:vAlign w:val="center"/>
          </w:tcPr>
          <w:p>
            <w:pPr>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机关各业务处室</w:t>
            </w:r>
          </w:p>
        </w:tc>
        <w:tc>
          <w:tcPr>
            <w:tcW w:w="990" w:type="dxa"/>
            <w:vMerge w:val="restart"/>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落实《吉林省公平公正法治环境建设工程实施方案》部署要求，着力形成包容审慎的行政执法体系</w:t>
            </w:r>
          </w:p>
        </w:tc>
        <w:tc>
          <w:tcPr>
            <w:tcW w:w="247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全面实施“首违不罚”清单制度</w:t>
            </w:r>
          </w:p>
        </w:tc>
        <w:tc>
          <w:tcPr>
            <w:tcW w:w="5850" w:type="dxa"/>
            <w:noWrap w:val="0"/>
            <w:vAlign w:val="center"/>
          </w:tcPr>
          <w:p>
            <w:pPr>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编制《吉林省广播电视局市场经营活动轻微违法行为“首违不罚”清单》。</w:t>
            </w:r>
          </w:p>
        </w:tc>
        <w:tc>
          <w:tcPr>
            <w:tcW w:w="94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12月底前</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66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p>
        </w:tc>
        <w:tc>
          <w:tcPr>
            <w:tcW w:w="95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政策法规处</w:t>
            </w:r>
          </w:p>
        </w:tc>
        <w:tc>
          <w:tcPr>
            <w:tcW w:w="1200"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机关各业务处室</w:t>
            </w:r>
          </w:p>
        </w:tc>
        <w:tc>
          <w:tcPr>
            <w:tcW w:w="990" w:type="dxa"/>
            <w:vMerge w:val="continue"/>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p>
        </w:tc>
        <w:tc>
          <w:tcPr>
            <w:tcW w:w="2475" w:type="dxa"/>
            <w:noWrap w:val="0"/>
            <w:vAlign w:val="center"/>
          </w:tcPr>
          <w:p>
            <w:pPr>
              <w:jc w:val="both"/>
              <w:rPr>
                <w:rFonts w:hint="default" w:ascii="仿宋_GB2312" w:hAnsi="仿宋_GB2312" w:eastAsia="仿宋_GB2312" w:cs="仿宋_GB2312"/>
                <w:b w:val="0"/>
                <w:bCs w:val="0"/>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建立健全包容审慎监管执法“四张清单”动态更新机制</w:t>
            </w:r>
          </w:p>
        </w:tc>
        <w:tc>
          <w:tcPr>
            <w:tcW w:w="5850"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结合相关</w:t>
            </w:r>
            <w:r>
              <w:rPr>
                <w:rFonts w:hint="default" w:ascii="仿宋_GB2312" w:hAnsi="仿宋_GB2312" w:eastAsia="仿宋_GB2312" w:cs="仿宋_GB2312"/>
                <w:b w:val="0"/>
                <w:bCs w:val="0"/>
                <w:color w:val="auto"/>
                <w:sz w:val="24"/>
                <w:szCs w:val="24"/>
                <w:highlight w:val="none"/>
                <w:lang w:val="en-US" w:eastAsia="zh-CN"/>
              </w:rPr>
              <w:t>法律法规和规章的立改废</w:t>
            </w:r>
            <w:r>
              <w:rPr>
                <w:rFonts w:hint="eastAsia" w:ascii="仿宋_GB2312" w:hAnsi="仿宋_GB2312" w:eastAsia="仿宋_GB2312" w:cs="仿宋_GB2312"/>
                <w:b w:val="0"/>
                <w:bCs w:val="0"/>
                <w:color w:val="auto"/>
                <w:sz w:val="24"/>
                <w:szCs w:val="24"/>
                <w:highlight w:val="none"/>
                <w:lang w:val="en-US" w:eastAsia="zh-CN"/>
              </w:rPr>
              <w:t>情况</w:t>
            </w:r>
            <w:r>
              <w:rPr>
                <w:rFonts w:hint="default" w:ascii="仿宋_GB2312" w:hAnsi="仿宋_GB2312" w:eastAsia="仿宋_GB2312" w:cs="仿宋_GB2312"/>
                <w:b w:val="0"/>
                <w:bCs w:val="0"/>
                <w:color w:val="auto"/>
                <w:sz w:val="24"/>
                <w:szCs w:val="24"/>
                <w:highlight w:val="none"/>
                <w:lang w:val="en-US" w:eastAsia="zh-CN"/>
              </w:rPr>
              <w:t>，及时修订</w:t>
            </w:r>
            <w:r>
              <w:rPr>
                <w:rFonts w:hint="eastAsia" w:ascii="仿宋_GB2312" w:hAnsi="仿宋_GB2312" w:eastAsia="仿宋_GB2312" w:cs="仿宋_GB2312"/>
                <w:b w:val="0"/>
                <w:bCs w:val="0"/>
                <w:color w:val="auto"/>
                <w:sz w:val="24"/>
                <w:szCs w:val="24"/>
                <w:highlight w:val="none"/>
                <w:lang w:val="en-US" w:eastAsia="zh-CN"/>
              </w:rPr>
              <w:t>、</w:t>
            </w:r>
            <w:r>
              <w:rPr>
                <w:rFonts w:hint="default" w:ascii="仿宋_GB2312" w:hAnsi="仿宋_GB2312" w:eastAsia="仿宋_GB2312" w:cs="仿宋_GB2312"/>
                <w:b w:val="0"/>
                <w:bCs w:val="0"/>
                <w:color w:val="auto"/>
                <w:sz w:val="24"/>
                <w:szCs w:val="24"/>
                <w:highlight w:val="none"/>
                <w:lang w:val="en-US" w:eastAsia="zh-CN"/>
              </w:rPr>
              <w:t>完善不予处罚、从轻处罚、减轻处罚等“四张清单”，主动面向社会公示，并向同级司法行政部门备案</w:t>
            </w:r>
            <w:r>
              <w:rPr>
                <w:rFonts w:hint="eastAsia" w:ascii="仿宋_GB2312" w:hAnsi="仿宋_GB2312" w:eastAsia="仿宋_GB2312" w:cs="仿宋_GB2312"/>
                <w:b w:val="0"/>
                <w:bCs w:val="0"/>
                <w:color w:val="auto"/>
                <w:sz w:val="24"/>
                <w:szCs w:val="24"/>
                <w:highlight w:val="none"/>
                <w:lang w:val="en-US" w:eastAsia="zh-CN"/>
              </w:rPr>
              <w:t>。</w:t>
            </w:r>
          </w:p>
        </w:tc>
        <w:tc>
          <w:tcPr>
            <w:tcW w:w="94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长期</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广电行业法规</w:t>
            </w:r>
            <w:r>
              <w:rPr>
                <w:rFonts w:hint="eastAsia" w:ascii="仿宋_GB2312" w:hAnsi="仿宋_GB2312" w:eastAsia="仿宋_GB2312" w:cs="仿宋_GB2312"/>
                <w:b w:val="0"/>
                <w:bCs w:val="0"/>
                <w:color w:val="auto"/>
                <w:sz w:val="24"/>
                <w:szCs w:val="24"/>
                <w:highlight w:val="none"/>
                <w:lang w:val="en-US" w:eastAsia="zh-CN"/>
              </w:rPr>
              <w:t>未</w:t>
            </w:r>
            <w:r>
              <w:rPr>
                <w:rFonts w:hint="default" w:ascii="仿宋_GB2312" w:hAnsi="仿宋_GB2312" w:eastAsia="仿宋_GB2312" w:cs="仿宋_GB2312"/>
                <w:b w:val="0"/>
                <w:bCs w:val="0"/>
                <w:color w:val="auto"/>
                <w:sz w:val="24"/>
                <w:szCs w:val="24"/>
                <w:highlight w:val="none"/>
                <w:lang w:val="en-US" w:eastAsia="zh-CN"/>
              </w:rPr>
              <w:t>设定行政强制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6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955"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政策法规处</w:t>
            </w:r>
          </w:p>
        </w:tc>
        <w:tc>
          <w:tcPr>
            <w:tcW w:w="1200"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w:t>
            </w:r>
          </w:p>
        </w:tc>
        <w:tc>
          <w:tcPr>
            <w:tcW w:w="99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2475" w:type="dxa"/>
            <w:noWrap w:val="0"/>
            <w:vAlign w:val="center"/>
          </w:tcPr>
          <w:p>
            <w:pPr>
              <w:jc w:val="both"/>
              <w:rPr>
                <w:rFonts w:hint="default" w:ascii="仿宋_GB2312" w:hAnsi="仿宋_GB2312" w:eastAsia="仿宋_GB2312" w:cs="仿宋_GB2312"/>
                <w:b w:val="0"/>
                <w:bCs w:val="0"/>
                <w:color w:val="auto"/>
                <w:sz w:val="24"/>
                <w:szCs w:val="24"/>
                <w:highlight w:val="none"/>
                <w:lang w:val="en-US" w:eastAsia="zh-CN"/>
              </w:rPr>
            </w:pPr>
            <w:r>
              <w:rPr>
                <w:rFonts w:hint="default" w:ascii="仿宋_GB2312" w:hAnsi="仿宋_GB2312" w:eastAsia="仿宋_GB2312" w:cs="仿宋_GB2312"/>
                <w:b w:val="0"/>
                <w:bCs w:val="0"/>
                <w:color w:val="auto"/>
                <w:sz w:val="24"/>
                <w:szCs w:val="24"/>
                <w:highlight w:val="none"/>
                <w:lang w:val="en-US" w:eastAsia="zh-CN"/>
              </w:rPr>
              <w:t>健全完善“一案三书”工作机制</w:t>
            </w:r>
          </w:p>
        </w:tc>
        <w:tc>
          <w:tcPr>
            <w:tcW w:w="5850" w:type="dxa"/>
            <w:noWrap w:val="0"/>
            <w:vAlign w:val="center"/>
          </w:tcPr>
          <w:p>
            <w:pPr>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结合全省广电系统行政执法检查，对各级广电行政部门和文化市场综合执法机构落实《吉林省广播电视和网络视听监管“一案三书”工作规范》工作情况进行监督指导。</w:t>
            </w:r>
          </w:p>
        </w:tc>
        <w:tc>
          <w:tcPr>
            <w:tcW w:w="945"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长期</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66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955"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政策法规处</w:t>
            </w:r>
          </w:p>
        </w:tc>
        <w:tc>
          <w:tcPr>
            <w:tcW w:w="1200"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w:t>
            </w:r>
          </w:p>
        </w:tc>
        <w:tc>
          <w:tcPr>
            <w:tcW w:w="99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2475" w:type="dxa"/>
            <w:noWrap w:val="0"/>
            <w:vAlign w:val="center"/>
          </w:tcPr>
          <w:p>
            <w:pPr>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落实部门行政执法监督职责</w:t>
            </w:r>
          </w:p>
        </w:tc>
        <w:tc>
          <w:tcPr>
            <w:tcW w:w="5850" w:type="dxa"/>
            <w:noWrap w:val="0"/>
            <w:vAlign w:val="center"/>
          </w:tcPr>
          <w:p>
            <w:pPr>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结合全省广电系统行政执法检查，对全省各级广电行政部门行政执法公示制度、行政执法全过程记录制度、重大行政执法决定法制审核制度、行政裁量基准制度、行政执法责任制落实情况进行监督。</w:t>
            </w:r>
          </w:p>
        </w:tc>
        <w:tc>
          <w:tcPr>
            <w:tcW w:w="94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12月底前</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65" w:type="dxa"/>
            <w:vMerge w:val="restart"/>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w:t>
            </w:r>
          </w:p>
        </w:tc>
        <w:tc>
          <w:tcPr>
            <w:tcW w:w="955" w:type="dxa"/>
            <w:vMerge w:val="restart"/>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政策法规处</w:t>
            </w:r>
          </w:p>
        </w:tc>
        <w:tc>
          <w:tcPr>
            <w:tcW w:w="1200" w:type="dxa"/>
            <w:vMerge w:val="restart"/>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局法律顾问</w:t>
            </w:r>
          </w:p>
        </w:tc>
        <w:tc>
          <w:tcPr>
            <w:tcW w:w="99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2475" w:type="dxa"/>
            <w:vMerge w:val="restart"/>
            <w:noWrap w:val="0"/>
            <w:vAlign w:val="center"/>
          </w:tcPr>
          <w:p>
            <w:pPr>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全面落实行政执法“三项制度”</w:t>
            </w:r>
          </w:p>
        </w:tc>
        <w:tc>
          <w:tcPr>
            <w:tcW w:w="5850" w:type="dxa"/>
            <w:noWrap w:val="0"/>
            <w:vAlign w:val="center"/>
          </w:tcPr>
          <w:p>
            <w:pPr>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不断完善“12345＋”制度体系。</w:t>
            </w:r>
          </w:p>
        </w:tc>
        <w:tc>
          <w:tcPr>
            <w:tcW w:w="945"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长期</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65"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955"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99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2475" w:type="dxa"/>
            <w:vMerge w:val="continue"/>
            <w:noWrap w:val="0"/>
            <w:vAlign w:val="center"/>
          </w:tcPr>
          <w:p>
            <w:pPr>
              <w:jc w:val="both"/>
              <w:rPr>
                <w:rFonts w:hint="eastAsia" w:ascii="仿宋_GB2312" w:hAnsi="仿宋_GB2312" w:eastAsia="仿宋_GB2312" w:cs="仿宋_GB2312"/>
                <w:b w:val="0"/>
                <w:bCs w:val="0"/>
                <w:color w:val="auto"/>
                <w:sz w:val="24"/>
                <w:szCs w:val="24"/>
                <w:highlight w:val="none"/>
                <w:lang w:val="en-US" w:eastAsia="zh-CN"/>
              </w:rPr>
            </w:pPr>
          </w:p>
        </w:tc>
        <w:tc>
          <w:tcPr>
            <w:tcW w:w="5850" w:type="dxa"/>
            <w:noWrap w:val="0"/>
            <w:vAlign w:val="center"/>
          </w:tcPr>
          <w:p>
            <w:pPr>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通过组织开展全省广电系统和文化市场综合执法机构行政执法人员业务培训，不断提升行政执法人员贯彻落实行政执法“三项制度”要求的能力。</w:t>
            </w:r>
          </w:p>
        </w:tc>
        <w:tc>
          <w:tcPr>
            <w:tcW w:w="945"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长期</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665" w:type="dxa"/>
            <w:vMerge w:val="restart"/>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w:t>
            </w:r>
          </w:p>
        </w:tc>
        <w:tc>
          <w:tcPr>
            <w:tcW w:w="955" w:type="dxa"/>
            <w:vMerge w:val="restart"/>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政策法规处</w:t>
            </w:r>
          </w:p>
        </w:tc>
        <w:tc>
          <w:tcPr>
            <w:tcW w:w="1200" w:type="dxa"/>
            <w:vMerge w:val="restart"/>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w:t>
            </w:r>
          </w:p>
        </w:tc>
        <w:tc>
          <w:tcPr>
            <w:tcW w:w="99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2475" w:type="dxa"/>
            <w:vMerge w:val="restart"/>
            <w:noWrap w:val="0"/>
            <w:vAlign w:val="center"/>
          </w:tcPr>
          <w:p>
            <w:pPr>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强化行政执法“四张流程图”在行政执法工作中的应用</w:t>
            </w:r>
          </w:p>
        </w:tc>
        <w:tc>
          <w:tcPr>
            <w:tcW w:w="5850" w:type="dxa"/>
            <w:noWrap w:val="0"/>
            <w:vAlign w:val="center"/>
          </w:tcPr>
          <w:p>
            <w:pPr>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依照相关法律、法规、规章的立改废，对行政执法“四张流程图”进行动态调整。</w:t>
            </w:r>
          </w:p>
        </w:tc>
        <w:tc>
          <w:tcPr>
            <w:tcW w:w="945"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长期</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65"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955"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99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2475" w:type="dxa"/>
            <w:vMerge w:val="continue"/>
            <w:noWrap w:val="0"/>
            <w:vAlign w:val="center"/>
          </w:tcPr>
          <w:p>
            <w:pPr>
              <w:jc w:val="both"/>
              <w:rPr>
                <w:rFonts w:hint="eastAsia" w:ascii="仿宋_GB2312" w:hAnsi="仿宋_GB2312" w:eastAsia="仿宋_GB2312" w:cs="仿宋_GB2312"/>
                <w:b w:val="0"/>
                <w:bCs w:val="0"/>
                <w:color w:val="auto"/>
                <w:sz w:val="24"/>
                <w:szCs w:val="24"/>
                <w:highlight w:val="none"/>
                <w:lang w:val="en-US" w:eastAsia="zh-CN"/>
              </w:rPr>
            </w:pPr>
          </w:p>
        </w:tc>
        <w:tc>
          <w:tcPr>
            <w:tcW w:w="5850" w:type="dxa"/>
            <w:noWrap w:val="0"/>
            <w:vAlign w:val="center"/>
          </w:tcPr>
          <w:p>
            <w:pPr>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结合年度行政执法检查就违反法定程序的问题进行专项检查。</w:t>
            </w:r>
          </w:p>
        </w:tc>
        <w:tc>
          <w:tcPr>
            <w:tcW w:w="945" w:type="dxa"/>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12月底前</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65" w:type="dxa"/>
            <w:vMerge w:val="restart"/>
            <w:noWrap w:val="0"/>
            <w:vAlign w:val="center"/>
          </w:tcPr>
          <w:p>
            <w:pPr>
              <w:jc w:val="center"/>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7</w:t>
            </w:r>
          </w:p>
        </w:tc>
        <w:tc>
          <w:tcPr>
            <w:tcW w:w="955" w:type="dxa"/>
            <w:vMerge w:val="restart"/>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政策法规处</w:t>
            </w:r>
          </w:p>
        </w:tc>
        <w:tc>
          <w:tcPr>
            <w:tcW w:w="1200"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机关各业务处室、局法律顾问</w:t>
            </w:r>
          </w:p>
        </w:tc>
        <w:tc>
          <w:tcPr>
            <w:tcW w:w="99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2475" w:type="dxa"/>
            <w:vMerge w:val="restart"/>
            <w:noWrap w:val="0"/>
            <w:vAlign w:val="center"/>
          </w:tcPr>
          <w:p>
            <w:pPr>
              <w:jc w:val="both"/>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健全行政执法案例指导制度</w:t>
            </w:r>
          </w:p>
        </w:tc>
        <w:tc>
          <w:tcPr>
            <w:tcW w:w="5850" w:type="dxa"/>
            <w:noWrap w:val="0"/>
            <w:vAlign w:val="center"/>
          </w:tcPr>
          <w:p>
            <w:pPr>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建立违法案例通报机制，对全省广电系统查处的典型违法案例进行研究、分析。</w:t>
            </w:r>
          </w:p>
        </w:tc>
        <w:tc>
          <w:tcPr>
            <w:tcW w:w="945"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长期</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665"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955"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1200"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机关各业务处室</w:t>
            </w:r>
          </w:p>
        </w:tc>
        <w:tc>
          <w:tcPr>
            <w:tcW w:w="990" w:type="dxa"/>
            <w:vMerge w:val="continue"/>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p>
        </w:tc>
        <w:tc>
          <w:tcPr>
            <w:tcW w:w="2475" w:type="dxa"/>
            <w:vMerge w:val="continue"/>
            <w:noWrap w:val="0"/>
            <w:vAlign w:val="center"/>
          </w:tcPr>
          <w:p>
            <w:pPr>
              <w:jc w:val="both"/>
              <w:rPr>
                <w:rFonts w:hint="eastAsia" w:ascii="仿宋_GB2312" w:hAnsi="仿宋_GB2312" w:eastAsia="仿宋_GB2312" w:cs="仿宋_GB2312"/>
                <w:b w:val="0"/>
                <w:bCs w:val="0"/>
                <w:color w:val="auto"/>
                <w:sz w:val="24"/>
                <w:szCs w:val="24"/>
                <w:highlight w:val="none"/>
                <w:lang w:val="en-US" w:eastAsia="zh-CN"/>
              </w:rPr>
            </w:pPr>
          </w:p>
        </w:tc>
        <w:tc>
          <w:tcPr>
            <w:tcW w:w="5850" w:type="dxa"/>
            <w:noWrap w:val="0"/>
            <w:vAlign w:val="center"/>
          </w:tcPr>
          <w:p>
            <w:pPr>
              <w:jc w:val="left"/>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组织开展违背市场准入负面清单典型案例、公平竞争审查、反不正当竞争以及营商环境建设行政处罚领域相关案例的学习。</w:t>
            </w:r>
          </w:p>
        </w:tc>
        <w:tc>
          <w:tcPr>
            <w:tcW w:w="945" w:type="dxa"/>
            <w:noWrap w:val="0"/>
            <w:vAlign w:val="center"/>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长期</w:t>
            </w:r>
          </w:p>
        </w:tc>
        <w:tc>
          <w:tcPr>
            <w:tcW w:w="1386" w:type="dxa"/>
            <w:noWrap w:val="0"/>
            <w:vAlign w:val="center"/>
          </w:tcPr>
          <w:p>
            <w:pPr>
              <w:jc w:val="left"/>
              <w:rPr>
                <w:rFonts w:hint="default" w:ascii="仿宋_GB2312" w:hAnsi="仿宋_GB2312" w:eastAsia="仿宋_GB2312" w:cs="仿宋_GB2312"/>
                <w:b w:val="0"/>
                <w:bCs w:val="0"/>
                <w:color w:val="auto"/>
                <w:sz w:val="24"/>
                <w:szCs w:val="24"/>
                <w:highlight w:val="none"/>
                <w:lang w:val="en-US" w:eastAsia="zh-CN"/>
              </w:rPr>
            </w:pPr>
          </w:p>
        </w:tc>
      </w:tr>
    </w:tbl>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60B0E"/>
    <w:rsid w:val="7FEB26A7"/>
    <w:rsid w:val="81BF9BA7"/>
    <w:rsid w:val="9EF60B0E"/>
    <w:rsid w:val="BF570A75"/>
    <w:rsid w:val="D7FF7E71"/>
    <w:rsid w:val="DEFE7824"/>
    <w:rsid w:val="FABF4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color w:val="00000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2023-06-27T08:21:00Z</dcterms:created>
  <dc:creator>sgdj</dc:creator>
  <cp:lastModifiedBy>sgdj</cp:lastModifiedBy>
  <dcterms:modified xsi:type="dcterms:W3CDTF">2023-06-26T14:32:37Z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